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195/04 vom 10. November 2004</w:t>
      </w:r>
    </w:p>
    <w:p>
      <w:r>
        <w:t>Bundesstrafgericht, 2004-11-10, DE</w:t>
      </w:r>
    </w:p>
    <w:p>
      <w:r>
        <w:rPr>
          <w:b/>
        </w:rPr>
        <w:t xml:space="preserve">Quelle: </w:t>
      </w:r>
      <w:r>
        <w:t>https://mcp.opencaselaw.ch/entscheid/bstger_BK_B 195_04</w:t>
      </w:r>
    </w:p>
    <w:p>
      <w:r>
        <w:t>FR: TPF BK_B 195/04 du 10 novembre 2004</w:t>
      </w:r>
    </w:p>
    <w:p>
      <w:r>
        <w:t>IT: TPF BK_B 195/04 del 10 novembre 2004</w:t>
      </w:r>
    </w:p>
    <w:p>
      <w:pPr>
        <w:pStyle w:val="Heading2"/>
      </w:pPr>
      <w:r>
        <w:t>Regeste</w:t>
      </w:r>
    </w:p>
    <w:p>
      <w:r>
        <w:t>Beschwerde gegen Verweigerung des Besuchsrechts und Gesuch um Erteilung der aufschiebenden Wirkung (Art. 105bis Abs. 2, Art. 218 BStP)</w:t>
      </w:r>
    </w:p>
    <w:p>
      <w:pPr>
        <w:pStyle w:val="Heading2"/>
      </w:pPr>
      <w:r>
        <w:t>Erwägungen</w:t>
      </w:r>
    </w:p>
    <w:p>
      <w:r>
        <w:rPr>
          <w:b/>
        </w:rPr>
        <w:t>E. 5</w:t>
      </w:r>
    </w:p>
    <w:p>
      <w:r>
        <w:t>40 N 35); – dass die Beschwerdekammer ihrem Entscheid die Verhältnisse zugrunde legt, wie sie zum Zeitpunkt des Entscheides bestehen; – dass der Beschwerdeführer nicht Parteienvertreter ist, ihm mithin weder zusteht, im Namen von B.______ und C.______ Beschwerde zu führen, noch den dem Verteidiger vorbehaltenen Anspruch auf – grundsätzlich – freien schriftlichen und mündlichen Verkehr mit seinem Mandanten (Art. 117 BStP) für sich geltend zu machen; – dass der Beschwerdeführer somit durch die angefochtene Verfügung der Bundesanwaltschaft vom 3. November 2004 keinen ungerechtfertigten Nachteil erlitten hat, weshalb ihm die Aktivlegitimation fehlt und die rechtli- che Beschwer abzusprechen ist; – dass abgesehen davon der Beschwerdeführer keine neuen Tatsachen vor- zubringen vermag, welche die Abänderung der bisher unangefochten ge- bliebenen Verfügung der Bundesanwaltschaft vom 2. September 2004 er- fordern würden und im Übrigen auch kein im Interesse von B.______ und C.______ stehender Grund ersichtlich ist, den mit dem Fall vertrauten Ver- teidigern das Mandat zu entziehen, um es dem Beschwerdeführer zu über- tragen; – dass sich damit die Beschwerde als unzulässig erweist, weshalb auf sie nicht einzutreten ist; – dass die Kosten für das Beschwerdeverfahren vor dem Bundesstrafgericht gestützt auf Art. 245 BStP i.V.m. Art. 146 – 161 des Bundesgesetzes vom 16. Dezember 1943 über die Organisation der Bundesrechtspflege (OG, SR 173.110) festzusetzen und zu verlegen bzw. gestützt auf das Regle- ment vom 11. Februar 2004 über die Entschädigung in Verfahren vor dem Bundesstrafgericht (SR 173.711.31) sowie das Reglement vom 11. Februar 2004 über die Gerichtsgebühren vor dem Bundesstrafgericht (SR 173.711.32) zu bemessen sind; – dass bei diesem Ausgang des Verfahrens der Beschwerdeführer die Kos- ten des Verfahrens zu tragen hat (Art. 245 BStP i.V.m. Art. 156 Abs. 1 OG);</w:t>
      </w:r>
    </w:p>
    <w:p>
      <w:r>
        <w:t>- 6 -</w:t>
      </w:r>
    </w:p>
    <w:p>
      <w:r>
        <w:t>– dass der vorliegenden Sache eine Gerichtsgebühr von Fr. 500.-- angemes- sen ist,</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